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72F8" w14:textId="4542FB84" w:rsidR="00144C43" w:rsidRPr="00733760" w:rsidRDefault="004E7BE7" w:rsidP="004E7BE7">
      <w:pPr>
        <w:spacing w:after="200"/>
        <w:rPr>
          <w:b/>
          <w:bCs/>
          <w:sz w:val="28"/>
          <w:szCs w:val="28"/>
        </w:rPr>
      </w:pPr>
      <w:r w:rsidRPr="00733760">
        <w:rPr>
          <w:b/>
          <w:bCs/>
          <w:sz w:val="28"/>
          <w:szCs w:val="28"/>
        </w:rPr>
        <w:t>Automatyzacja magazynu w branży elementów złącznych</w:t>
      </w:r>
    </w:p>
    <w:p w14:paraId="49F6772F" w14:textId="743D32F1" w:rsidR="004E7BE7" w:rsidRDefault="004E7BE7" w:rsidP="004E7BE7">
      <w:pPr>
        <w:spacing w:after="200"/>
        <w:jc w:val="both"/>
        <w:rPr>
          <w:b/>
          <w:bCs/>
        </w:rPr>
      </w:pPr>
      <w:r>
        <w:rPr>
          <w:b/>
          <w:bCs/>
        </w:rPr>
        <w:t xml:space="preserve">Automatyzacja magazynu pozwoliła </w:t>
      </w:r>
      <w:r w:rsidRPr="004E7BE7">
        <w:rPr>
          <w:b/>
          <w:bCs/>
        </w:rPr>
        <w:t>firm</w:t>
      </w:r>
      <w:r>
        <w:rPr>
          <w:b/>
          <w:bCs/>
        </w:rPr>
        <w:t xml:space="preserve">ie </w:t>
      </w:r>
      <w:r w:rsidRPr="004E7BE7">
        <w:rPr>
          <w:b/>
          <w:bCs/>
        </w:rPr>
        <w:t>Fabory</w:t>
      </w:r>
      <w:r>
        <w:rPr>
          <w:b/>
          <w:bCs/>
        </w:rPr>
        <w:t xml:space="preserve"> </w:t>
      </w:r>
      <w:r w:rsidR="00C15A48">
        <w:rPr>
          <w:b/>
          <w:bCs/>
        </w:rPr>
        <w:t xml:space="preserve">poprawić kluczowe wskaźniki </w:t>
      </w:r>
      <w:r w:rsidR="002037ED">
        <w:rPr>
          <w:b/>
          <w:bCs/>
        </w:rPr>
        <w:t>wydajności</w:t>
      </w:r>
      <w:r>
        <w:rPr>
          <w:b/>
          <w:bCs/>
        </w:rPr>
        <w:t>, zwiększając przy tym elastyczność procesów w okresach szczytów logistycznych.</w:t>
      </w:r>
    </w:p>
    <w:p w14:paraId="3CC82E15" w14:textId="576E8474" w:rsidR="00670C5D" w:rsidRPr="00CB6069" w:rsidRDefault="001B71C0" w:rsidP="2BA6ECD5">
      <w:pPr>
        <w:spacing w:after="200"/>
        <w:jc w:val="both"/>
        <w:rPr>
          <w:rFonts w:ascii="Aptos" w:hAnsi="Aptos" w:cs="Calibri"/>
        </w:rPr>
      </w:pPr>
      <w:r w:rsidRPr="5C29A76C">
        <w:rPr>
          <w:rFonts w:ascii="Aptos" w:hAnsi="Aptos" w:cs="Calibri"/>
        </w:rPr>
        <w:t>Historia Fabory sięga 1947 roku. Na przestrzeni lat holenderska firma stał</w:t>
      </w:r>
      <w:r w:rsidR="533FDB24" w:rsidRPr="5C29A76C">
        <w:rPr>
          <w:rFonts w:ascii="Aptos" w:hAnsi="Aptos" w:cs="Calibri"/>
        </w:rPr>
        <w:t>a</w:t>
      </w:r>
      <w:r w:rsidRPr="5C29A76C">
        <w:rPr>
          <w:rFonts w:ascii="Aptos" w:hAnsi="Aptos" w:cs="Calibri"/>
        </w:rPr>
        <w:t xml:space="preserve"> się wiodącym globalnym dystrybutorem przemysłowych elementów złącznych i precyzyjnych komponentów mechanicznych. Przedsiębiorstwo zatrudnia obecnie ponad 1</w:t>
      </w:r>
      <w:r w:rsidR="13DB97B2" w:rsidRPr="5C29A76C">
        <w:rPr>
          <w:rFonts w:ascii="Aptos" w:hAnsi="Aptos" w:cs="Calibri"/>
        </w:rPr>
        <w:t xml:space="preserve"> </w:t>
      </w:r>
      <w:r w:rsidRPr="5C29A76C">
        <w:rPr>
          <w:rFonts w:ascii="Aptos" w:hAnsi="Aptos" w:cs="Calibri"/>
        </w:rPr>
        <w:t xml:space="preserve">000 osób w 12 krajach. Znajdujący się przy </w:t>
      </w:r>
      <w:r w:rsidR="003867F6" w:rsidRPr="5C29A76C">
        <w:rPr>
          <w:rFonts w:ascii="Aptos" w:hAnsi="Aptos" w:cs="Calibri"/>
        </w:rPr>
        <w:t xml:space="preserve">jego </w:t>
      </w:r>
      <w:r w:rsidRPr="5C29A76C">
        <w:rPr>
          <w:rFonts w:ascii="Aptos" w:hAnsi="Aptos" w:cs="Calibri"/>
        </w:rPr>
        <w:t>siedzibie w Tilburgu centralny magazyn przeszedł ostatnio rozbudowę i modernizację w oparciu o rozwiązania automatyzacyjn</w:t>
      </w:r>
      <w:r w:rsidR="00733760">
        <w:rPr>
          <w:rFonts w:ascii="Aptos" w:hAnsi="Aptos" w:cs="Calibri"/>
        </w:rPr>
        <w:t>e</w:t>
      </w:r>
      <w:r w:rsidRPr="5C29A76C">
        <w:rPr>
          <w:rFonts w:ascii="Aptos" w:hAnsi="Aptos" w:cs="Calibri"/>
        </w:rPr>
        <w:t>.</w:t>
      </w:r>
      <w:r w:rsidR="00733760">
        <w:rPr>
          <w:rFonts w:ascii="Aptos" w:hAnsi="Aptos" w:cs="Calibri"/>
        </w:rPr>
        <w:t xml:space="preserve"> Z</w:t>
      </w:r>
      <w:r w:rsidRPr="0D3F59C6">
        <w:rPr>
          <w:rFonts w:ascii="Aptos" w:hAnsi="Aptos" w:cs="Calibri"/>
        </w:rPr>
        <w:t xml:space="preserve">aopatrywane są </w:t>
      </w:r>
      <w:r w:rsidR="00733760">
        <w:rPr>
          <w:rFonts w:ascii="Aptos" w:hAnsi="Aptos" w:cs="Calibri"/>
        </w:rPr>
        <w:t xml:space="preserve">z niego </w:t>
      </w:r>
      <w:r w:rsidRPr="0D3F59C6">
        <w:rPr>
          <w:rFonts w:ascii="Aptos" w:hAnsi="Aptos" w:cs="Calibri"/>
        </w:rPr>
        <w:t>trzy europejskie centra dystrybucyjne: w Czechach, Portugalii i</w:t>
      </w:r>
      <w:r w:rsidR="00733760">
        <w:rPr>
          <w:rFonts w:ascii="Aptos" w:hAnsi="Aptos" w:cs="Calibri"/>
        </w:rPr>
        <w:t> </w:t>
      </w:r>
      <w:r w:rsidRPr="0D3F59C6">
        <w:rPr>
          <w:rFonts w:ascii="Aptos" w:hAnsi="Aptos" w:cs="Calibri"/>
        </w:rPr>
        <w:t xml:space="preserve">Wielkiej Brytanii. Obiekt zaplanowano tak, by mógł efektywnie pomieścić 100 tys. pozycji z bogatego, obejmującego około 450 tys. produktów asortymentu. </w:t>
      </w:r>
      <w:r w:rsidRPr="0D3F59C6">
        <w:rPr>
          <w:rFonts w:ascii="Aptos" w:hAnsi="Aptos" w:cs="Calibri"/>
          <w:i/>
          <w:iCs/>
        </w:rPr>
        <w:t xml:space="preserve">– Wcześniej magazyn znajdował się w dwóch lokalizacjach w Tilburgu, a my codziennie korzystaliśmy z transportu wahadłowego. Nie było to idealne rozwiązanie. Jeśli chcieliśmy osiągnąć nasze cele wzrostu, musieliśmy wprowadzić kilka istotnych ulepszeń </w:t>
      </w:r>
      <w:r w:rsidRPr="0D3F59C6">
        <w:rPr>
          <w:rFonts w:ascii="Aptos" w:hAnsi="Aptos" w:cs="Calibri"/>
        </w:rPr>
        <w:t xml:space="preserve">– relacjonuje Joost Jansonius, Logistics Director w Fabory. </w:t>
      </w:r>
      <w:r w:rsidR="00670C5D" w:rsidRPr="0D3F59C6">
        <w:rPr>
          <w:rFonts w:ascii="Aptos" w:hAnsi="Aptos" w:cs="Calibri"/>
        </w:rPr>
        <w:t xml:space="preserve">Rozważano wiele możliwości realizacji tych założeń. Ostatecznie jako całościowego dostawcę rozwiązań intralogistycznych wybrano STILL. Kluczowe dla podjęcia tej decyzji było </w:t>
      </w:r>
      <w:r w:rsidR="00CB6069" w:rsidRPr="0D3F59C6">
        <w:rPr>
          <w:rFonts w:ascii="Aptos" w:hAnsi="Aptos" w:cs="Calibri"/>
        </w:rPr>
        <w:t>zobaczenie</w:t>
      </w:r>
      <w:r w:rsidR="00670C5D" w:rsidRPr="0D3F59C6">
        <w:rPr>
          <w:rFonts w:ascii="Aptos" w:hAnsi="Aptos" w:cs="Calibri"/>
        </w:rPr>
        <w:t xml:space="preserve"> na własne oczy, jak działa analogiczne do zaproponowanego rozwiązania automatyzacyjne. </w:t>
      </w:r>
      <w:r w:rsidR="00670C5D" w:rsidRPr="0D3F59C6">
        <w:rPr>
          <w:rFonts w:ascii="Aptos" w:hAnsi="Aptos" w:cs="Calibri"/>
          <w:i/>
          <w:iCs/>
        </w:rPr>
        <w:t xml:space="preserve">– STILL wdrożył podobny </w:t>
      </w:r>
      <w:r w:rsidR="00670C5D" w:rsidRPr="00733760">
        <w:rPr>
          <w:rFonts w:ascii="Aptos" w:hAnsi="Aptos" w:cs="Calibri"/>
          <w:i/>
          <w:iCs/>
        </w:rPr>
        <w:t>magazyn w firmie Tarkett w Waalwijk</w:t>
      </w:r>
      <w:r w:rsidR="00670C5D" w:rsidRPr="0D3F59C6">
        <w:rPr>
          <w:rFonts w:ascii="Aptos" w:hAnsi="Aptos" w:cs="Calibri"/>
          <w:i/>
          <w:iCs/>
        </w:rPr>
        <w:t>. To, co tam zobaczyliśmy, było dokładnie tym, czego szukaliśm</w:t>
      </w:r>
      <w:r w:rsidR="00CB6069" w:rsidRPr="0D3F59C6">
        <w:rPr>
          <w:rFonts w:ascii="Aptos" w:hAnsi="Aptos" w:cs="Calibri"/>
          <w:i/>
          <w:iCs/>
        </w:rPr>
        <w:t xml:space="preserve">y – </w:t>
      </w:r>
      <w:r w:rsidR="00CB6069" w:rsidRPr="0D3F59C6">
        <w:rPr>
          <w:rFonts w:ascii="Aptos" w:hAnsi="Aptos" w:cs="Calibri"/>
        </w:rPr>
        <w:t xml:space="preserve">komentuje Leon Broere, Project Manager w Fabory. – </w:t>
      </w:r>
      <w:r w:rsidR="00CB6069" w:rsidRPr="0D3F59C6">
        <w:rPr>
          <w:rFonts w:ascii="Aptos" w:hAnsi="Aptos" w:cs="Calibri"/>
          <w:i/>
          <w:iCs/>
        </w:rPr>
        <w:t>Zasadnicze znaczenie miał dla nas fakt, że koncepcja świetnie sprawdza się w praktyce</w:t>
      </w:r>
      <w:r w:rsidR="621225E3" w:rsidRPr="0D3F59C6">
        <w:rPr>
          <w:rFonts w:ascii="Aptos" w:hAnsi="Aptos" w:cs="Calibri"/>
          <w:i/>
          <w:iCs/>
        </w:rPr>
        <w:t xml:space="preserve"> – </w:t>
      </w:r>
      <w:r w:rsidR="621225E3" w:rsidRPr="0D3F59C6">
        <w:rPr>
          <w:rFonts w:ascii="Aptos" w:hAnsi="Aptos" w:cs="Calibri"/>
        </w:rPr>
        <w:t>dodaje</w:t>
      </w:r>
      <w:r w:rsidR="00CB6069" w:rsidRPr="0D3F59C6">
        <w:rPr>
          <w:rFonts w:ascii="Aptos" w:hAnsi="Aptos" w:cs="Calibri"/>
          <w:i/>
          <w:iCs/>
        </w:rPr>
        <w:t>.</w:t>
      </w:r>
    </w:p>
    <w:p w14:paraId="4C263DC0" w14:textId="77777777" w:rsidR="001B71C0" w:rsidRPr="00733760" w:rsidRDefault="001B71C0" w:rsidP="00057F8A">
      <w:pPr>
        <w:keepNext/>
        <w:spacing w:after="200"/>
        <w:jc w:val="both"/>
        <w:rPr>
          <w:rFonts w:ascii="Aptos" w:hAnsi="Aptos" w:cs="Calibri"/>
          <w:b/>
        </w:rPr>
      </w:pPr>
      <w:r w:rsidRPr="00733760">
        <w:rPr>
          <w:rFonts w:ascii="Aptos" w:hAnsi="Aptos" w:cs="Calibri"/>
          <w:b/>
        </w:rPr>
        <w:t>Zastosowane rozwiązanie</w:t>
      </w:r>
    </w:p>
    <w:p w14:paraId="647FF696" w14:textId="3FFFBE31" w:rsidR="00670C5D" w:rsidRPr="00670C5D" w:rsidRDefault="00CB6069" w:rsidP="00670C5D">
      <w:pPr>
        <w:spacing w:after="200"/>
        <w:jc w:val="both"/>
      </w:pPr>
      <w:r>
        <w:t xml:space="preserve">Wdrożona koncepcja uwzględnia całą drogę ładunków – poczynając od </w:t>
      </w:r>
      <w:r w:rsidR="00670C5D">
        <w:t>stref</w:t>
      </w:r>
      <w:r>
        <w:t>y</w:t>
      </w:r>
      <w:r w:rsidR="00670C5D">
        <w:t xml:space="preserve"> odbioru z</w:t>
      </w:r>
      <w:r>
        <w:t> </w:t>
      </w:r>
      <w:r w:rsidR="00670C5D">
        <w:t xml:space="preserve">dokami dla samochodów ciężarowych. </w:t>
      </w:r>
      <w:r>
        <w:t>Dostawy realizowane są na paletach zawierających do 40 produktów Fabory. Dla porządku wyodrębniono miejsca przyjmowania jednorodnych oraz zmieszanych pod względem asortymentu nośników ładunku. W obu przypadkach p</w:t>
      </w:r>
      <w:r w:rsidR="00670C5D">
        <w:t xml:space="preserve">alety są pobierane </w:t>
      </w:r>
      <w:r w:rsidR="519C44ED">
        <w:t xml:space="preserve">z naczep </w:t>
      </w:r>
      <w:r>
        <w:t xml:space="preserve">z </w:t>
      </w:r>
      <w:r w:rsidR="00670C5D">
        <w:t xml:space="preserve">użyciem sterowanych ręcznie </w:t>
      </w:r>
      <w:r w:rsidR="00670C5D" w:rsidRPr="00733760">
        <w:t>wózków unoszących z platformą dla operatora serii STILL EXH-SF</w:t>
      </w:r>
      <w:r w:rsidR="00670C5D">
        <w:t>. Podczas wjazdu do magazynu stacjonarny skaner automatycznie odczytuje etykietę ładunku. Po jego odłożeniu w</w:t>
      </w:r>
      <w:r w:rsidR="52822B3C">
        <w:t xml:space="preserve"> </w:t>
      </w:r>
      <w:r w:rsidR="00670C5D">
        <w:t>wyznaczonym miejscu zadania związane z transportem wewnętrznym i</w:t>
      </w:r>
      <w:r w:rsidR="00733760">
        <w:t> </w:t>
      </w:r>
      <w:r w:rsidR="00670C5D">
        <w:t>składowaniem przejmuje zautomatyzowany system STILL.</w:t>
      </w:r>
      <w:r>
        <w:t xml:space="preserve"> </w:t>
      </w:r>
      <w:r w:rsidR="003867F6">
        <w:t xml:space="preserve">Pobiera </w:t>
      </w:r>
      <w:r>
        <w:t xml:space="preserve">on generowane </w:t>
      </w:r>
      <w:r w:rsidR="00944E77">
        <w:t>przez system</w:t>
      </w:r>
      <w:r>
        <w:t xml:space="preserve"> SAP zlecenia przewozu i składowania. W pierwszej kolejności zautomatyzowane </w:t>
      </w:r>
      <w:r w:rsidRPr="00733760">
        <w:t xml:space="preserve">wózki </w:t>
      </w:r>
      <w:r w:rsidR="0092591E" w:rsidRPr="00733760">
        <w:t>podnośnikowe</w:t>
      </w:r>
      <w:r w:rsidR="0092591E">
        <w:t xml:space="preserve"> </w:t>
      </w:r>
      <w:r>
        <w:t xml:space="preserve">zabierają paletę do </w:t>
      </w:r>
      <w:r w:rsidR="0092591E">
        <w:t xml:space="preserve">punktu </w:t>
      </w:r>
      <w:r>
        <w:t xml:space="preserve">kontroli obrysu, gdzie jednocześnie </w:t>
      </w:r>
      <w:r w:rsidR="0092591E">
        <w:t xml:space="preserve">sprawdzana jest poprawność </w:t>
      </w:r>
      <w:r>
        <w:t>wag</w:t>
      </w:r>
      <w:r w:rsidR="0092591E">
        <w:t>i ładunku</w:t>
      </w:r>
      <w:r>
        <w:t xml:space="preserve">. </w:t>
      </w:r>
      <w:r w:rsidR="0092591E">
        <w:t xml:space="preserve">W razie jakichkolwiek niezgodności paleta trafia do punktu ręcznej kontroli. Jeśli wszystko jest w porządku, </w:t>
      </w:r>
      <w:r>
        <w:t>w</w:t>
      </w:r>
      <w:r w:rsidR="0092591E">
        <w:t> </w:t>
      </w:r>
      <w:r>
        <w:t xml:space="preserve">oparciu </w:t>
      </w:r>
      <w:r w:rsidR="0092591E">
        <w:t xml:space="preserve">o </w:t>
      </w:r>
      <w:r w:rsidR="003867F6">
        <w:t xml:space="preserve">kształt, </w:t>
      </w:r>
      <w:r>
        <w:t>wagę</w:t>
      </w:r>
      <w:r w:rsidR="0092591E">
        <w:t xml:space="preserve"> i</w:t>
      </w:r>
      <w:r w:rsidR="3856E291">
        <w:t xml:space="preserve"> </w:t>
      </w:r>
      <w:r>
        <w:t>klasyfikację ABC</w:t>
      </w:r>
      <w:r w:rsidR="0092591E">
        <w:t xml:space="preserve"> system przypisuje palecie optymalne miejsce składowania w</w:t>
      </w:r>
      <w:r w:rsidR="003867F6">
        <w:t> </w:t>
      </w:r>
      <w:r w:rsidR="0092591E">
        <w:t>sięgającym 12 metrów wysokości systemie regałowym</w:t>
      </w:r>
      <w:r>
        <w:t xml:space="preserve">. </w:t>
      </w:r>
      <w:r w:rsidR="00670C5D" w:rsidRPr="00733760">
        <w:t>Pojazdy klasy AGV</w:t>
      </w:r>
      <w:r w:rsidR="00670C5D">
        <w:t xml:space="preserve"> serii STILL EXV iGo przenoszą </w:t>
      </w:r>
      <w:r w:rsidR="0092591E">
        <w:t xml:space="preserve">następnie </w:t>
      </w:r>
      <w:r w:rsidR="00670C5D">
        <w:t>ładunki do stacji transferowych na końcu regałów. Stąd są one pobierane i umieszczane na</w:t>
      </w:r>
      <w:r w:rsidR="11CC43B3">
        <w:t xml:space="preserve"> </w:t>
      </w:r>
      <w:r w:rsidR="00670C5D">
        <w:t xml:space="preserve">przypisanych miejscach paletowych przez automatyczne wózki </w:t>
      </w:r>
      <w:r w:rsidR="0092591E">
        <w:t xml:space="preserve">do pracy w bardzo wąskich alejkach. </w:t>
      </w:r>
      <w:r w:rsidR="00670C5D">
        <w:t>Trasy automatycznych wózków podnośnikowych i systemowych ustalono tak, by nigdy się nie przecinały.</w:t>
      </w:r>
      <w:r w:rsidR="0092591E">
        <w:t xml:space="preserve"> </w:t>
      </w:r>
      <w:r w:rsidR="00670C5D">
        <w:t>W</w:t>
      </w:r>
      <w:r w:rsidR="0092591E">
        <w:t> razie</w:t>
      </w:r>
      <w:r w:rsidR="00670C5D">
        <w:t xml:space="preserve"> potrzeby </w:t>
      </w:r>
      <w:r w:rsidR="0092591E">
        <w:t xml:space="preserve">podzielenia zawartości </w:t>
      </w:r>
      <w:r w:rsidR="00670C5D">
        <w:t xml:space="preserve">palety </w:t>
      </w:r>
      <w:r w:rsidR="0092591E">
        <w:t xml:space="preserve">na mniejsze części </w:t>
      </w:r>
      <w:r w:rsidR="00670C5D">
        <w:t xml:space="preserve">jest ona najpierw transportowana do stacji transferowej przez </w:t>
      </w:r>
      <w:r w:rsidR="0092591E">
        <w:t xml:space="preserve">automatyczne </w:t>
      </w:r>
      <w:r w:rsidR="0092591E" w:rsidRPr="00733760">
        <w:t xml:space="preserve">wózki VNA serii </w:t>
      </w:r>
      <w:r w:rsidR="00670C5D" w:rsidRPr="00733760">
        <w:t>MX-X</w:t>
      </w:r>
      <w:r w:rsidR="0092591E">
        <w:t xml:space="preserve"> iGo</w:t>
      </w:r>
      <w:r w:rsidR="00670C5D">
        <w:t xml:space="preserve">. </w:t>
      </w:r>
      <w:r w:rsidR="00670C5D">
        <w:lastRenderedPageBreak/>
        <w:t>Następnie podejmuje ją wózek podnośnikowy AGV i przewozi do punktu przeładunkowego z robotycznym ramieniem, które depaletyzuje ładunki i umieszcza je na przenośniku. Z jego pomocą opakowania trafiają</w:t>
      </w:r>
      <w:r w:rsidR="0092591E">
        <w:t xml:space="preserve"> </w:t>
      </w:r>
      <w:r w:rsidR="00670C5D">
        <w:t>pojedynczo do zautomatyzowanego magazynu małych części lub innego stosownego miejsca. System pozwala wydajnie obsługiwać 150-300 palet dziennie. Ładowanie baterii wózków automatycznych realizowane jest samoczynnie w okresach nieaktywności lub gdy akumulator osiągnie ustaloną wartość krytyczną</w:t>
      </w:r>
      <w:r w:rsidR="2181A2DA">
        <w:t>.</w:t>
      </w:r>
    </w:p>
    <w:p w14:paraId="2E9C1765" w14:textId="77777777" w:rsidR="001B71C0" w:rsidRPr="00733760" w:rsidRDefault="001B71C0" w:rsidP="001B71C0">
      <w:pPr>
        <w:keepNext/>
        <w:spacing w:after="200"/>
        <w:jc w:val="both"/>
        <w:rPr>
          <w:rFonts w:ascii="Aptos" w:hAnsi="Aptos" w:cs="Aparajita"/>
          <w:b/>
        </w:rPr>
      </w:pPr>
      <w:r w:rsidRPr="00733760">
        <w:rPr>
          <w:rFonts w:ascii="Aptos" w:hAnsi="Aptos" w:cs="Aparajita"/>
          <w:b/>
        </w:rPr>
        <w:t>Efekt wdro</w:t>
      </w:r>
      <w:r w:rsidRPr="00733760">
        <w:rPr>
          <w:rFonts w:ascii="Aptos" w:hAnsi="Aptos" w:cs="Cambria"/>
          <w:b/>
        </w:rPr>
        <w:t>ż</w:t>
      </w:r>
      <w:r w:rsidRPr="00733760">
        <w:rPr>
          <w:rFonts w:ascii="Aptos" w:hAnsi="Aptos" w:cs="Aparajita"/>
          <w:b/>
        </w:rPr>
        <w:t>enia</w:t>
      </w:r>
    </w:p>
    <w:p w14:paraId="58DDDBC5" w14:textId="55B866D9" w:rsidR="00B544F2" w:rsidRPr="00B544F2" w:rsidRDefault="00B544F2" w:rsidP="2BA6ECD5">
      <w:pPr>
        <w:spacing w:after="200" w:line="259" w:lineRule="auto"/>
        <w:jc w:val="both"/>
        <w:rPr>
          <w:rFonts w:ascii="Aptos" w:hAnsi="Aptos" w:cs="Calibri"/>
        </w:rPr>
      </w:pPr>
      <w:r w:rsidRPr="2BA6ECD5">
        <w:rPr>
          <w:i/>
          <w:iCs/>
        </w:rPr>
        <w:t>– Bardzo podobała nam się współpraca ze STILL –</w:t>
      </w:r>
      <w:r>
        <w:t xml:space="preserve"> mówi Leon Broere. </w:t>
      </w:r>
      <w:r w:rsidRPr="2BA6ECD5">
        <w:rPr>
          <w:i/>
          <w:iCs/>
        </w:rPr>
        <w:t>– D</w:t>
      </w:r>
      <w:r w:rsidR="00DF67EF">
        <w:rPr>
          <w:i/>
          <w:iCs/>
        </w:rPr>
        <w:t>o</w:t>
      </w:r>
      <w:r w:rsidRPr="2BA6ECD5">
        <w:rPr>
          <w:i/>
          <w:iCs/>
        </w:rPr>
        <w:t xml:space="preserve">ceniamy wsparcie, jakie otrzymaliśmy podczas procesu instalacji, a także otwartą komunikację przez cały czas trwania projektu. Prace zostały wykonane zgodnie z harmonogramem i w założonym budżecie – </w:t>
      </w:r>
      <w:r>
        <w:t xml:space="preserve">dodaje </w:t>
      </w:r>
      <w:r w:rsidRPr="2BA6ECD5">
        <w:rPr>
          <w:rFonts w:ascii="Aptos" w:hAnsi="Aptos" w:cs="Calibri"/>
        </w:rPr>
        <w:t>Project Manager w</w:t>
      </w:r>
      <w:r w:rsidR="0D538CC4" w:rsidRPr="2BA6ECD5">
        <w:rPr>
          <w:rFonts w:ascii="Aptos" w:hAnsi="Aptos" w:cs="Calibri"/>
        </w:rPr>
        <w:t xml:space="preserve"> </w:t>
      </w:r>
      <w:r w:rsidRPr="2BA6ECD5">
        <w:rPr>
          <w:rFonts w:ascii="Aptos" w:hAnsi="Aptos" w:cs="Calibri"/>
        </w:rPr>
        <w:t xml:space="preserve">Fabory. </w:t>
      </w:r>
      <w:r w:rsidRPr="2BA6ECD5">
        <w:rPr>
          <w:rFonts w:ascii="Aptos" w:hAnsi="Aptos" w:cs="Calibri"/>
          <w:i/>
          <w:iCs/>
        </w:rPr>
        <w:t>– Automatyzacja wpływa istotnie na organizację procesów logistycznych. Towarzyszymy klientom w tej zmianie,</w:t>
      </w:r>
      <w:r w:rsidR="002037ED" w:rsidRPr="2BA6ECD5">
        <w:rPr>
          <w:rFonts w:ascii="Aptos" w:hAnsi="Aptos" w:cs="Calibri"/>
          <w:i/>
          <w:iCs/>
        </w:rPr>
        <w:t xml:space="preserve"> wspierając ich m.in. poprzez</w:t>
      </w:r>
      <w:r w:rsidRPr="2BA6ECD5">
        <w:rPr>
          <w:rFonts w:ascii="Aptos" w:hAnsi="Aptos" w:cs="Calibri"/>
          <w:i/>
          <w:iCs/>
        </w:rPr>
        <w:t xml:space="preserve"> organiz</w:t>
      </w:r>
      <w:r w:rsidR="002037ED" w:rsidRPr="2BA6ECD5">
        <w:rPr>
          <w:rFonts w:ascii="Aptos" w:hAnsi="Aptos" w:cs="Calibri"/>
          <w:i/>
          <w:iCs/>
        </w:rPr>
        <w:t>ację</w:t>
      </w:r>
      <w:r w:rsidRPr="2BA6ECD5">
        <w:rPr>
          <w:rFonts w:ascii="Aptos" w:hAnsi="Aptos" w:cs="Calibri"/>
          <w:i/>
          <w:iCs/>
        </w:rPr>
        <w:t xml:space="preserve"> warsztat</w:t>
      </w:r>
      <w:r w:rsidR="002037ED" w:rsidRPr="2BA6ECD5">
        <w:rPr>
          <w:rFonts w:ascii="Aptos" w:hAnsi="Aptos" w:cs="Calibri"/>
          <w:i/>
          <w:iCs/>
        </w:rPr>
        <w:t>ów</w:t>
      </w:r>
      <w:r w:rsidRPr="2BA6ECD5">
        <w:rPr>
          <w:rFonts w:ascii="Aptos" w:hAnsi="Aptos" w:cs="Calibri"/>
          <w:i/>
          <w:iCs/>
        </w:rPr>
        <w:t xml:space="preserve">. Podczas nich rozmawiamy, tłumaczymy jak od początku do końca będzie przebiegać wdrożenia i to, jak będzie wyglądała praca po jego ukończeniu. Razem szukamy optymalnych rozwiązań – </w:t>
      </w:r>
      <w:r w:rsidRPr="2BA6ECD5">
        <w:rPr>
          <w:rFonts w:ascii="Aptos" w:hAnsi="Aptos" w:cs="Calibri"/>
        </w:rPr>
        <w:t xml:space="preserve">komentuje odpowiedzialny za wdrożenie po stronie STILL Yorick Oosthoek. </w:t>
      </w:r>
      <w:r w:rsidRPr="2BA6ECD5">
        <w:rPr>
          <w:rFonts w:ascii="Aptos" w:hAnsi="Aptos" w:cs="Calibri"/>
          <w:i/>
          <w:iCs/>
        </w:rPr>
        <w:t>– Nowy magazyn pozwolił wprowadzić innowacje w zarządzaniu zapasami i obniżyć koszty operacyjne. Zwiększyliśmy bezpieczeństwo pracy i</w:t>
      </w:r>
      <w:r w:rsidR="049BC690" w:rsidRPr="2BA6ECD5">
        <w:rPr>
          <w:rFonts w:ascii="Aptos" w:hAnsi="Aptos" w:cs="Calibri"/>
          <w:i/>
          <w:iCs/>
        </w:rPr>
        <w:t xml:space="preserve"> s</w:t>
      </w:r>
      <w:r w:rsidRPr="2BA6ECD5">
        <w:rPr>
          <w:rFonts w:ascii="Aptos" w:hAnsi="Aptos" w:cs="Calibri"/>
          <w:i/>
          <w:iCs/>
        </w:rPr>
        <w:t xml:space="preserve">tworzyliśmy system gotowy na szczyty logistyczne – </w:t>
      </w:r>
      <w:r w:rsidRPr="2BA6ECD5">
        <w:rPr>
          <w:rFonts w:ascii="Aptos" w:hAnsi="Aptos" w:cs="Calibri"/>
        </w:rPr>
        <w:t xml:space="preserve">relacjonuje Joost Jansonius. </w:t>
      </w:r>
      <w:r w:rsidRPr="2BA6ECD5">
        <w:rPr>
          <w:rFonts w:ascii="Aptos" w:hAnsi="Aptos" w:cs="Calibri"/>
          <w:i/>
          <w:iCs/>
        </w:rPr>
        <w:t>– Czas dostawy skrócił się przy tym z jednego–dwóch dni do</w:t>
      </w:r>
      <w:r w:rsidR="3B8F227E" w:rsidRPr="2BA6ECD5">
        <w:rPr>
          <w:rFonts w:ascii="Aptos" w:hAnsi="Aptos" w:cs="Calibri"/>
          <w:i/>
          <w:iCs/>
        </w:rPr>
        <w:t xml:space="preserve"> </w:t>
      </w:r>
      <w:r w:rsidRPr="2BA6ECD5">
        <w:rPr>
          <w:rFonts w:ascii="Aptos" w:hAnsi="Aptos" w:cs="Calibri"/>
          <w:i/>
          <w:iCs/>
        </w:rPr>
        <w:t xml:space="preserve">dwóch–trzech godzin. Nasi klienci zauważają tę różnicę – </w:t>
      </w:r>
      <w:r w:rsidRPr="2BA6ECD5">
        <w:rPr>
          <w:rFonts w:ascii="Aptos" w:hAnsi="Aptos" w:cs="Calibri"/>
        </w:rPr>
        <w:t>konkluduje</w:t>
      </w:r>
      <w:r w:rsidR="002037ED" w:rsidRPr="2BA6ECD5">
        <w:rPr>
          <w:rFonts w:ascii="Aptos" w:hAnsi="Aptos" w:cs="Calibri"/>
        </w:rPr>
        <w:t xml:space="preserve"> Logistics Director </w:t>
      </w:r>
      <w:r w:rsidR="5390507F" w:rsidRPr="2BA6ECD5">
        <w:rPr>
          <w:rFonts w:ascii="Aptos" w:hAnsi="Aptos" w:cs="Calibri"/>
        </w:rPr>
        <w:t xml:space="preserve">w </w:t>
      </w:r>
      <w:r w:rsidR="002037ED" w:rsidRPr="2BA6ECD5">
        <w:rPr>
          <w:rFonts w:ascii="Aptos" w:hAnsi="Aptos" w:cs="Calibri"/>
        </w:rPr>
        <w:t>Fabory</w:t>
      </w:r>
      <w:r w:rsidRPr="2BA6ECD5">
        <w:rPr>
          <w:rFonts w:ascii="Aptos" w:hAnsi="Aptos" w:cs="Calibri"/>
        </w:rPr>
        <w:t>.</w:t>
      </w:r>
    </w:p>
    <w:sectPr w:rsidR="00B544F2" w:rsidRPr="00B544F2" w:rsidSect="00F65B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33D0E"/>
    <w:multiLevelType w:val="hybridMultilevel"/>
    <w:tmpl w:val="0C604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72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E7"/>
    <w:rsid w:val="00057F8A"/>
    <w:rsid w:val="000D017E"/>
    <w:rsid w:val="00144C43"/>
    <w:rsid w:val="001516F8"/>
    <w:rsid w:val="001871AB"/>
    <w:rsid w:val="001B4A05"/>
    <w:rsid w:val="001B71C0"/>
    <w:rsid w:val="002037ED"/>
    <w:rsid w:val="00367855"/>
    <w:rsid w:val="003867F6"/>
    <w:rsid w:val="0043182B"/>
    <w:rsid w:val="00440A90"/>
    <w:rsid w:val="004E7BE7"/>
    <w:rsid w:val="00587EF8"/>
    <w:rsid w:val="006574AF"/>
    <w:rsid w:val="00670C5D"/>
    <w:rsid w:val="006B1646"/>
    <w:rsid w:val="006D65D6"/>
    <w:rsid w:val="00733760"/>
    <w:rsid w:val="007B5241"/>
    <w:rsid w:val="007C0D85"/>
    <w:rsid w:val="008763D6"/>
    <w:rsid w:val="0092591E"/>
    <w:rsid w:val="00944E77"/>
    <w:rsid w:val="009F64EB"/>
    <w:rsid w:val="00A3444A"/>
    <w:rsid w:val="00A43472"/>
    <w:rsid w:val="00AB10A3"/>
    <w:rsid w:val="00B3279B"/>
    <w:rsid w:val="00B544F2"/>
    <w:rsid w:val="00BF08D2"/>
    <w:rsid w:val="00C15A48"/>
    <w:rsid w:val="00CB6069"/>
    <w:rsid w:val="00D76E62"/>
    <w:rsid w:val="00DF67EF"/>
    <w:rsid w:val="00E43403"/>
    <w:rsid w:val="00E5548C"/>
    <w:rsid w:val="00F65B21"/>
    <w:rsid w:val="00F9320C"/>
    <w:rsid w:val="00FD6B1C"/>
    <w:rsid w:val="049BC690"/>
    <w:rsid w:val="0D3F59C6"/>
    <w:rsid w:val="0D538CC4"/>
    <w:rsid w:val="11CC43B3"/>
    <w:rsid w:val="13DB97B2"/>
    <w:rsid w:val="2181A2DA"/>
    <w:rsid w:val="2B2DEF22"/>
    <w:rsid w:val="2B476C61"/>
    <w:rsid w:val="2BA6ECD5"/>
    <w:rsid w:val="2C630264"/>
    <w:rsid w:val="3856E291"/>
    <w:rsid w:val="3B8F227E"/>
    <w:rsid w:val="4CB6E2FF"/>
    <w:rsid w:val="519C44ED"/>
    <w:rsid w:val="52822B3C"/>
    <w:rsid w:val="533FDB24"/>
    <w:rsid w:val="5390507F"/>
    <w:rsid w:val="5747933C"/>
    <w:rsid w:val="5C29A76C"/>
    <w:rsid w:val="5F6303E1"/>
    <w:rsid w:val="621225E3"/>
    <w:rsid w:val="7287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17A5A"/>
  <w15:chartTrackingRefBased/>
  <w15:docId w15:val="{AB069DB2-4D45-FF46-97B7-F1104D6F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7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B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B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B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B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B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B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B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B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B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B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B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B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B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B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B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7B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B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7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7B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7B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7B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7B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B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7BE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6785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0C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9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9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b23fa5-c4c5-4bf8-bef1-0c0ba5cb7651" xsi:nil="true"/>
    <lcf76f155ced4ddcb4097134ff3c332f xmlns="bbe693ac-5f4c-405e-a328-5f25c9ebdb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2C3D8EDB1EC4BA5C32E7C94B95FE1" ma:contentTypeVersion="18" ma:contentTypeDescription="Utwórz nowy dokument." ma:contentTypeScope="" ma:versionID="88463ad631ce1ba6419f81c66e6451df">
  <xsd:schema xmlns:xsd="http://www.w3.org/2001/XMLSchema" xmlns:xs="http://www.w3.org/2001/XMLSchema" xmlns:p="http://schemas.microsoft.com/office/2006/metadata/properties" xmlns:ns2="bbe693ac-5f4c-405e-a328-5f25c9ebdbe3" xmlns:ns3="f6b23fa5-c4c5-4bf8-bef1-0c0ba5cb7651" targetNamespace="http://schemas.microsoft.com/office/2006/metadata/properties" ma:root="true" ma:fieldsID="e1273ff4698d45a04fe4b515a1051809" ns2:_="" ns3:_="">
    <xsd:import namespace="bbe693ac-5f4c-405e-a328-5f25c9ebdbe3"/>
    <xsd:import namespace="f6b23fa5-c4c5-4bf8-bef1-0c0ba5cb7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693ac-5f4c-405e-a328-5f25c9ebd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fda60db5-29a6-411a-8256-c1f062110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3fa5-c4c5-4bf8-bef1-0c0ba5cb7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1ee43c5-8bdd-44c8-ad52-0ef405d48e2d}" ma:internalName="TaxCatchAll" ma:showField="CatchAllData" ma:web="f6b23fa5-c4c5-4bf8-bef1-0c0ba5cb7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E1C3D-78F7-40C9-BCE8-195B869E0819}">
  <ds:schemaRefs>
    <ds:schemaRef ds:uri="http://schemas.microsoft.com/office/2006/metadata/properties"/>
    <ds:schemaRef ds:uri="http://schemas.microsoft.com/office/infopath/2007/PartnerControls"/>
    <ds:schemaRef ds:uri="f6b23fa5-c4c5-4bf8-bef1-0c0ba5cb7651"/>
    <ds:schemaRef ds:uri="bbe693ac-5f4c-405e-a328-5f25c9ebdbe3"/>
  </ds:schemaRefs>
</ds:datastoreItem>
</file>

<file path=customXml/itemProps2.xml><?xml version="1.0" encoding="utf-8"?>
<ds:datastoreItem xmlns:ds="http://schemas.openxmlformats.org/officeDocument/2006/customXml" ds:itemID="{7A24DA71-14B4-4ABC-A3E3-76CB940A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693ac-5f4c-405e-a328-5f25c9ebdbe3"/>
    <ds:schemaRef ds:uri="f6b23fa5-c4c5-4bf8-bef1-0c0ba5cb7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D9A88-3445-477A-8224-8757008BF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Podsiadły</dc:creator>
  <cp:keywords/>
  <dc:description/>
  <cp:lastModifiedBy>Wojciech  Podsiadły</cp:lastModifiedBy>
  <cp:revision>11</cp:revision>
  <dcterms:created xsi:type="dcterms:W3CDTF">2024-07-22T13:35:00Z</dcterms:created>
  <dcterms:modified xsi:type="dcterms:W3CDTF">2024-08-26T14:14:00Z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0x010100AE52C3D8EDB1EC4BA5C32E7C94B95FE1</vt:lpwstr>
  </property>
  <property fmtid="{D5CDD505-2E9C-101B-9397-08002B2CF9AE}" pid="3" name="MediaServiceImageTags">
    <vt:lpwstr/>
  </property>
</Properties>
</file>